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F0" w:rsidRDefault="00AA0AF0" w:rsidP="00AA0AF0">
      <w:pPr>
        <w:rPr>
          <w:color w:val="1F497D"/>
        </w:rPr>
      </w:pPr>
      <w:r>
        <w:rPr>
          <w:noProof/>
        </w:rPr>
        <w:drawing>
          <wp:inline distT="0" distB="0" distL="0" distR="0">
            <wp:extent cx="58197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362075"/>
                    </a:xfrm>
                    <a:prstGeom prst="rect">
                      <a:avLst/>
                    </a:prstGeom>
                    <a:noFill/>
                    <a:ln>
                      <a:noFill/>
                    </a:ln>
                  </pic:spPr>
                </pic:pic>
              </a:graphicData>
            </a:graphic>
          </wp:inline>
        </w:drawing>
      </w:r>
      <w:bookmarkStart w:id="0" w:name="_GoBack"/>
      <w:bookmarkEnd w:id="0"/>
    </w:p>
    <w:p w:rsidR="00AA0AF0" w:rsidRDefault="00AA0AF0" w:rsidP="00AA0AF0">
      <w:pPr>
        <w:rPr>
          <w:color w:val="1F497D"/>
        </w:rPr>
      </w:pPr>
    </w:p>
    <w:p w:rsidR="00AA0AF0" w:rsidRDefault="00AA0AF0" w:rsidP="00AA0AF0">
      <w:pPr>
        <w:rPr>
          <w:b/>
          <w:color w:val="FF0000"/>
          <w:sz w:val="32"/>
          <w:szCs w:val="32"/>
        </w:rPr>
      </w:pPr>
      <w:r>
        <w:rPr>
          <w:b/>
          <w:color w:val="FF0000"/>
          <w:sz w:val="32"/>
          <w:szCs w:val="32"/>
        </w:rPr>
        <w:t>Just a reminder for June 1</w:t>
      </w:r>
      <w:r>
        <w:rPr>
          <w:b/>
          <w:color w:val="FF0000"/>
          <w:sz w:val="32"/>
          <w:szCs w:val="32"/>
          <w:vertAlign w:val="superscript"/>
        </w:rPr>
        <w:t>st</w:t>
      </w:r>
      <w:r>
        <w:rPr>
          <w:b/>
          <w:color w:val="FF0000"/>
          <w:sz w:val="32"/>
          <w:szCs w:val="32"/>
        </w:rPr>
        <w:t xml:space="preserve">- Rhode Island and Massachusetts </w:t>
      </w:r>
      <w:r>
        <w:rPr>
          <w:b/>
          <w:color w:val="FF0000"/>
          <w:sz w:val="44"/>
          <w:szCs w:val="44"/>
        </w:rPr>
        <w:t>ONLY</w:t>
      </w:r>
    </w:p>
    <w:p w:rsidR="00AA0AF0" w:rsidRDefault="00AA0AF0" w:rsidP="00AA0AF0">
      <w:pPr>
        <w:rPr>
          <w:b/>
          <w:color w:val="1F497D"/>
        </w:rPr>
      </w:pPr>
    </w:p>
    <w:p w:rsidR="00AA0AF0" w:rsidRDefault="00AA0AF0" w:rsidP="00AA0AF0">
      <w:pPr>
        <w:rPr>
          <w:b/>
        </w:rPr>
      </w:pPr>
      <w:r>
        <w:rPr>
          <w:b/>
        </w:rPr>
        <w:t xml:space="preserve">All inverter-based solar PV projects 100 </w:t>
      </w:r>
      <w:proofErr w:type="gramStart"/>
      <w:r>
        <w:rPr>
          <w:b/>
        </w:rPr>
        <w:t>kw</w:t>
      </w:r>
      <w:proofErr w:type="gramEnd"/>
      <w:r>
        <w:rPr>
          <w:b/>
        </w:rPr>
        <w:t xml:space="preserve"> or less with applications submitted on or after June1, 2018 are subject to ISO-NE Ride through Requirements.</w:t>
      </w:r>
    </w:p>
    <w:p w:rsidR="00AA0AF0" w:rsidRDefault="00AA0AF0" w:rsidP="00AA0AF0"/>
    <w:p w:rsidR="00AA0AF0" w:rsidRDefault="00AA0AF0" w:rsidP="00AA0AF0">
      <w:r>
        <w:t>To comply with the ISO-NE Ride-through requirements, inverters in solar PV installations shall be certified per the requirements of UL 1741 SA as a grid support utility interactive inverter, and have the voltage and frequency trip settings and ride-through capability described in the ISO-NE Inverter Sources Requirements Document.</w:t>
      </w:r>
    </w:p>
    <w:p w:rsidR="00AA0AF0" w:rsidRDefault="00AA0AF0" w:rsidP="00AA0AF0"/>
    <w:p w:rsidR="00AA0AF0" w:rsidRDefault="00AA0AF0" w:rsidP="00AA0AF0">
      <w:hyperlink r:id="rId9" w:history="1">
        <w:r>
          <w:rPr>
            <w:rStyle w:val="Hyperlink"/>
            <w:color w:val="000000"/>
            <w14:textFill>
              <w14:solidFill>
                <w14:srgbClr w14:val="000000"/>
              </w14:solidFill>
            </w14:textFill>
          </w:rPr>
          <w:t>https://www9.nationalgridus.com/non_html/ISO-NE%20Ride-through%20Requirements%20Memo%202-14-18%20Final.pdf</w:t>
        </w:r>
      </w:hyperlink>
    </w:p>
    <w:p w:rsidR="00AA0AF0" w:rsidRDefault="00AA0AF0" w:rsidP="00AA0AF0"/>
    <w:p w:rsidR="00AA0AF0" w:rsidRDefault="00AA0AF0" w:rsidP="00AA0AF0">
      <w:hyperlink r:id="rId10" w:history="1">
        <w:r>
          <w:rPr>
            <w:rStyle w:val="Hyperlink"/>
            <w:color w:val="000000"/>
            <w14:textFill>
              <w14:solidFill>
                <w14:srgbClr w14:val="000000"/>
              </w14:solidFill>
            </w14:textFill>
          </w:rPr>
          <w:t>https://www9.nationalgridus.com/non_html/ISO%20New%20England%20Source%20Requirement%20Document-2018-02-06.pdf</w:t>
        </w:r>
      </w:hyperlink>
    </w:p>
    <w:p w:rsidR="00AA0AF0" w:rsidRDefault="00AA0AF0" w:rsidP="00AA0AF0">
      <w:pPr>
        <w:rPr>
          <w:rFonts w:ascii="Cambria" w:hAnsi="Cambria"/>
        </w:rPr>
      </w:pPr>
    </w:p>
    <w:p w:rsidR="00AA0AF0" w:rsidRDefault="00AA0AF0" w:rsidP="00AA0AF0">
      <w:pPr>
        <w:rPr>
          <w:rFonts w:cs="Calibri"/>
        </w:rPr>
      </w:pPr>
      <w:r>
        <w:rPr>
          <w:rFonts w:cs="Calibri"/>
        </w:rPr>
        <w:t>Site to locate list of UL 1741 SA inverters:</w:t>
      </w:r>
    </w:p>
    <w:p w:rsidR="00AA0AF0" w:rsidRDefault="00AA0AF0" w:rsidP="00AA0AF0">
      <w:pPr>
        <w:rPr>
          <w:rFonts w:ascii="Cambria" w:hAnsi="Cambria"/>
        </w:rPr>
      </w:pPr>
      <w:hyperlink r:id="rId11" w:history="1">
        <w:r>
          <w:rPr>
            <w:rStyle w:val="Hyperlink"/>
            <w:color w:val="000000"/>
            <w14:textFill>
              <w14:solidFill>
                <w14:srgbClr w14:val="000000"/>
              </w14:solidFill>
            </w14:textFill>
          </w:rPr>
          <w:t>http://www.gosolarcalifornia.org/equipment/inverters.php</w:t>
        </w:r>
      </w:hyperlink>
    </w:p>
    <w:p w:rsidR="00AA0AF0" w:rsidRDefault="00AA0AF0" w:rsidP="00AA0AF0">
      <w:pPr>
        <w:rPr>
          <w:rFonts w:ascii="Cambria" w:hAnsi="Cambria"/>
        </w:rPr>
      </w:pPr>
    </w:p>
    <w:p w:rsidR="00AA0AF0" w:rsidRDefault="00AA0AF0" w:rsidP="00AA0AF0"/>
    <w:p w:rsidR="00AA0AF0" w:rsidRDefault="00AA0AF0" w:rsidP="00AA0AF0">
      <w:pPr>
        <w:rPr>
          <w:b/>
          <w:color w:val="FF0000"/>
          <w:sz w:val="36"/>
          <w:szCs w:val="36"/>
        </w:rPr>
      </w:pPr>
      <w:r>
        <w:rPr>
          <w:b/>
          <w:color w:val="FF0000"/>
          <w:sz w:val="36"/>
          <w:szCs w:val="36"/>
        </w:rPr>
        <w:t>****VERY IMPORTANT</w:t>
      </w:r>
    </w:p>
    <w:p w:rsidR="00AA0AF0" w:rsidRDefault="00AA0AF0" w:rsidP="00AA0AF0">
      <w:pPr>
        <w:rPr>
          <w:b/>
          <w:color w:val="FF0000"/>
          <w:sz w:val="28"/>
          <w:szCs w:val="28"/>
        </w:rPr>
      </w:pPr>
      <w:r>
        <w:rPr>
          <w:b/>
          <w:color w:val="FF0000"/>
          <w:sz w:val="28"/>
          <w:szCs w:val="28"/>
        </w:rPr>
        <w:t xml:space="preserve">In addition to the application, one line and as built containing the correct inverter </w:t>
      </w:r>
      <w:r>
        <w:rPr>
          <w:b/>
          <w:color w:val="FF0000"/>
          <w:sz w:val="32"/>
          <w:szCs w:val="32"/>
          <w:u w:val="single"/>
        </w:rPr>
        <w:t>YOU WILL NEED TO ADD</w:t>
      </w:r>
      <w:r>
        <w:rPr>
          <w:b/>
          <w:color w:val="FF0000"/>
          <w:sz w:val="28"/>
          <w:szCs w:val="28"/>
        </w:rPr>
        <w:t xml:space="preserve"> the 4 requirements below in this format to your </w:t>
      </w:r>
      <w:r>
        <w:rPr>
          <w:b/>
          <w:color w:val="FF0000"/>
          <w:sz w:val="32"/>
          <w:szCs w:val="32"/>
        </w:rPr>
        <w:t>Commissioning Memos</w:t>
      </w:r>
      <w:r>
        <w:rPr>
          <w:b/>
          <w:color w:val="FF0000"/>
          <w:sz w:val="28"/>
          <w:szCs w:val="28"/>
        </w:rPr>
        <w:t xml:space="preserve"> as of June 1</w:t>
      </w:r>
      <w:r>
        <w:rPr>
          <w:b/>
          <w:color w:val="FF0000"/>
          <w:sz w:val="28"/>
          <w:szCs w:val="28"/>
          <w:vertAlign w:val="superscript"/>
        </w:rPr>
        <w:t>st for</w:t>
      </w:r>
      <w:r>
        <w:rPr>
          <w:b/>
          <w:color w:val="FF0000"/>
          <w:sz w:val="28"/>
          <w:szCs w:val="28"/>
        </w:rPr>
        <w:t xml:space="preserve"> any jobs submitted on June 1</w:t>
      </w:r>
      <w:r>
        <w:rPr>
          <w:b/>
          <w:color w:val="FF0000"/>
          <w:sz w:val="28"/>
          <w:szCs w:val="28"/>
          <w:vertAlign w:val="superscript"/>
        </w:rPr>
        <w:t>st</w:t>
      </w:r>
      <w:r>
        <w:rPr>
          <w:b/>
          <w:color w:val="FF0000"/>
          <w:sz w:val="28"/>
          <w:szCs w:val="28"/>
        </w:rPr>
        <w:t xml:space="preserve"> 2018 or later.  </w:t>
      </w:r>
    </w:p>
    <w:p w:rsidR="00AA0AF0" w:rsidRDefault="00AA0AF0" w:rsidP="00AA0AF0">
      <w:pPr>
        <w:rPr>
          <w:b/>
          <w:sz w:val="28"/>
          <w:szCs w:val="28"/>
        </w:rPr>
      </w:pPr>
    </w:p>
    <w:p w:rsidR="00AA0AF0" w:rsidRDefault="00AA0AF0" w:rsidP="00AA0AF0">
      <w:pPr>
        <w:rPr>
          <w:rFonts w:ascii="Arial" w:hAnsi="Arial" w:cs="Arial"/>
          <w:b/>
        </w:rPr>
      </w:pPr>
      <w:r>
        <w:rPr>
          <w:rFonts w:ascii="Arial" w:hAnsi="Arial" w:cs="Arial"/>
          <w:b/>
        </w:rPr>
        <w:t>****We will be looking for ‘yes’ in each line in the tables, and ‘yes’ on #’s 1 and 4.</w:t>
      </w:r>
    </w:p>
    <w:p w:rsidR="00AA0AF0" w:rsidRDefault="00AA0AF0" w:rsidP="00AA0AF0">
      <w:pPr>
        <w:rPr>
          <w:color w:val="1F497D"/>
        </w:rPr>
      </w:pPr>
    </w:p>
    <w:p w:rsidR="00AA0AF0" w:rsidRDefault="00AA0AF0" w:rsidP="00AA0AF0">
      <w:pPr>
        <w:rPr>
          <w:rFonts w:ascii="Arial" w:hAnsi="Arial" w:cs="Arial"/>
          <w:b/>
        </w:rPr>
      </w:pPr>
      <w:r>
        <w:rPr>
          <w:rFonts w:ascii="Arial" w:hAnsi="Arial" w:cs="Arial"/>
          <w:b/>
        </w:rPr>
        <w:t>Requirement 1: Verify Inverter is certified per UL 1741 SA as a “grid support utility interactive inverter” and has been verified by a NRTL to meet the ISO NE SRD requirements per ESB 756 section 7.8.1.</w:t>
      </w:r>
    </w:p>
    <w:p w:rsidR="00AA0AF0" w:rsidRDefault="00AA0AF0" w:rsidP="00AA0AF0">
      <w:pPr>
        <w:rPr>
          <w:rFonts w:ascii="Arial" w:hAnsi="Arial" w:cs="Arial"/>
        </w:rPr>
      </w:pPr>
    </w:p>
    <w:p w:rsidR="00AA0AF0" w:rsidRDefault="00AA0AF0" w:rsidP="00AA0AF0">
      <w:pPr>
        <w:pStyle w:val="ListParagraph"/>
        <w:numPr>
          <w:ilvl w:val="0"/>
          <w:numId w:val="1"/>
        </w:numPr>
        <w:rPr>
          <w:rFonts w:cs="Arial"/>
        </w:rPr>
      </w:pPr>
      <w:r>
        <w:rPr>
          <w:rFonts w:cs="Arial"/>
          <w:i/>
          <w:sz w:val="19"/>
        </w:rPr>
        <w:t xml:space="preserve">Nameplate Shows UL 1741 SA </w:t>
      </w:r>
      <w:r>
        <w:rPr>
          <w:rFonts w:cs="Arial"/>
        </w:rPr>
        <w:t>“</w:t>
      </w:r>
      <w:r>
        <w:rPr>
          <w:rFonts w:cs="Arial"/>
          <w:sz w:val="19"/>
          <w:lang w:val="x-none"/>
        </w:rPr>
        <w:t>Grid Support Interactive Inverter“ or “Grid Support Utility Interactive Inverter”</w:t>
      </w:r>
      <w:r>
        <w:rPr>
          <w:rFonts w:cs="Arial"/>
          <w:sz w:val="19"/>
        </w:rPr>
        <w:t xml:space="preserve"> (Yes/No) ___</w:t>
      </w:r>
    </w:p>
    <w:p w:rsidR="00AA0AF0" w:rsidRDefault="00AA0AF0" w:rsidP="00AA0AF0">
      <w:pPr>
        <w:rPr>
          <w:rFonts w:ascii="Arial" w:hAnsi="Arial" w:cs="Arial"/>
          <w:i/>
        </w:rPr>
      </w:pPr>
    </w:p>
    <w:p w:rsidR="00AA0AF0" w:rsidRDefault="00AA0AF0" w:rsidP="00AA0AF0">
      <w:pPr>
        <w:rPr>
          <w:rFonts w:ascii="Arial" w:hAnsi="Arial" w:cs="Arial"/>
          <w:b/>
        </w:rPr>
      </w:pPr>
      <w:r>
        <w:rPr>
          <w:rFonts w:ascii="Arial" w:hAnsi="Arial" w:cs="Arial"/>
          <w:b/>
        </w:rPr>
        <w:lastRenderedPageBreak/>
        <w:t xml:space="preserve">Requirement 2: Verify the Inverter TRIP settings are shown on the one line and set in the inverter per the ISO NE SRD and ESB 756 section 7.6.11 (defaults from section 7.6.11 shown simplified below). </w:t>
      </w:r>
    </w:p>
    <w:p w:rsidR="00AA0AF0" w:rsidRDefault="00AA0AF0" w:rsidP="00AA0AF0">
      <w:pPr>
        <w:rPr>
          <w:rFonts w:ascii="Arial" w:hAnsi="Arial" w:cs="Arial"/>
          <w:b/>
        </w:rPr>
      </w:pPr>
    </w:p>
    <w:p w:rsidR="00AA0AF0" w:rsidRDefault="00AA0AF0" w:rsidP="00AA0AF0">
      <w:pPr>
        <w:pStyle w:val="ListParagraph"/>
        <w:numPr>
          <w:ilvl w:val="0"/>
          <w:numId w:val="1"/>
        </w:numPr>
        <w:rPr>
          <w:rFonts w:cs="Arial"/>
        </w:rPr>
      </w:pPr>
      <w:r>
        <w:rPr>
          <w:rFonts w:cs="Arial"/>
        </w:rPr>
        <w:t>Trip settings Table:</w:t>
      </w:r>
    </w:p>
    <w:p w:rsidR="00AA0AF0" w:rsidRDefault="00AA0AF0" w:rsidP="00AA0AF0">
      <w:pPr>
        <w:rPr>
          <w:rFonts w:ascii="Arial" w:hAnsi="Arial" w:cs="Arial"/>
          <w:b/>
        </w:rPr>
      </w:pPr>
    </w:p>
    <w:tbl>
      <w:tblPr>
        <w:tblpPr w:leftFromText="180" w:rightFromText="180" w:bottomFromText="200" w:vertAnchor="text" w:horzAnchor="margin" w:tblpXSpec="center" w:tblpY="299"/>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79"/>
        <w:gridCol w:w="1619"/>
        <w:gridCol w:w="1619"/>
      </w:tblGrid>
      <w:tr w:rsidR="00AA0AF0" w:rsidTr="00AA0AF0">
        <w:trPr>
          <w:trHeight w:val="395"/>
          <w:tblHeader/>
        </w:trPr>
        <w:tc>
          <w:tcPr>
            <w:tcW w:w="2448" w:type="dxa"/>
            <w:tcBorders>
              <w:top w:val="single" w:sz="12" w:space="0" w:color="auto"/>
              <w:left w:val="single" w:sz="12" w:space="0" w:color="auto"/>
              <w:bottom w:val="double" w:sz="4" w:space="0" w:color="auto"/>
              <w:right w:val="single" w:sz="8" w:space="0" w:color="auto"/>
            </w:tcBorders>
            <w:shd w:val="clear" w:color="auto" w:fill="F3F3F3"/>
            <w:vAlign w:val="center"/>
            <w:hideMark/>
          </w:tcPr>
          <w:p w:rsidR="00AA0AF0" w:rsidRDefault="00AA0AF0">
            <w:pPr>
              <w:spacing w:line="276" w:lineRule="auto"/>
              <w:jc w:val="center"/>
              <w:rPr>
                <w:rFonts w:ascii="Arial" w:hAnsi="Arial" w:cs="Arial"/>
                <w:b/>
                <w:sz w:val="20"/>
                <w:szCs w:val="20"/>
              </w:rPr>
            </w:pPr>
            <w:r>
              <w:rPr>
                <w:rFonts w:ascii="Arial" w:hAnsi="Arial" w:cs="Arial"/>
                <w:b/>
                <w:sz w:val="20"/>
                <w:szCs w:val="20"/>
              </w:rPr>
              <w:t>DEVICE</w:t>
            </w:r>
          </w:p>
        </w:tc>
        <w:tc>
          <w:tcPr>
            <w:tcW w:w="2880" w:type="dxa"/>
            <w:tcBorders>
              <w:top w:val="single" w:sz="12" w:space="0" w:color="auto"/>
              <w:left w:val="single" w:sz="8" w:space="0" w:color="auto"/>
              <w:bottom w:val="double" w:sz="4" w:space="0" w:color="auto"/>
              <w:right w:val="single" w:sz="8" w:space="0" w:color="auto"/>
            </w:tcBorders>
            <w:shd w:val="clear" w:color="auto" w:fill="F3F3F3"/>
            <w:vAlign w:val="center"/>
            <w:hideMark/>
          </w:tcPr>
          <w:p w:rsidR="00AA0AF0" w:rsidRDefault="00AA0AF0">
            <w:pPr>
              <w:spacing w:line="276" w:lineRule="auto"/>
              <w:jc w:val="center"/>
              <w:rPr>
                <w:rFonts w:ascii="Arial" w:hAnsi="Arial" w:cs="Arial"/>
                <w:b/>
                <w:sz w:val="20"/>
                <w:szCs w:val="20"/>
              </w:rPr>
            </w:pPr>
            <w:r>
              <w:rPr>
                <w:rFonts w:ascii="Arial" w:hAnsi="Arial" w:cs="Arial"/>
                <w:b/>
                <w:sz w:val="20"/>
                <w:szCs w:val="20"/>
              </w:rPr>
              <w:t>PICKUP SETTING (DEFAULTS)</w:t>
            </w:r>
          </w:p>
        </w:tc>
        <w:tc>
          <w:tcPr>
            <w:tcW w:w="1620" w:type="dxa"/>
            <w:tcBorders>
              <w:top w:val="single" w:sz="12" w:space="0" w:color="auto"/>
              <w:left w:val="single" w:sz="8" w:space="0" w:color="auto"/>
              <w:bottom w:val="double" w:sz="4" w:space="0" w:color="auto"/>
              <w:right w:val="single" w:sz="12" w:space="0" w:color="auto"/>
            </w:tcBorders>
            <w:shd w:val="clear" w:color="auto" w:fill="F3F3F3"/>
            <w:vAlign w:val="center"/>
            <w:hideMark/>
          </w:tcPr>
          <w:p w:rsidR="00AA0AF0" w:rsidRDefault="00AA0AF0">
            <w:pPr>
              <w:spacing w:line="276" w:lineRule="auto"/>
              <w:jc w:val="center"/>
              <w:rPr>
                <w:rFonts w:ascii="Arial" w:hAnsi="Arial" w:cs="Arial"/>
                <w:b/>
                <w:sz w:val="20"/>
                <w:szCs w:val="20"/>
              </w:rPr>
            </w:pPr>
            <w:r>
              <w:rPr>
                <w:rFonts w:ascii="Arial" w:hAnsi="Arial" w:cs="Arial"/>
                <w:b/>
                <w:sz w:val="20"/>
                <w:szCs w:val="20"/>
              </w:rPr>
              <w:t>DEFAULT CLEARING TIME (seconds)</w:t>
            </w:r>
          </w:p>
        </w:tc>
        <w:tc>
          <w:tcPr>
            <w:tcW w:w="1620" w:type="dxa"/>
            <w:tcBorders>
              <w:top w:val="single" w:sz="12" w:space="0" w:color="auto"/>
              <w:left w:val="single" w:sz="8" w:space="0" w:color="auto"/>
              <w:bottom w:val="double" w:sz="4" w:space="0" w:color="auto"/>
              <w:right w:val="single" w:sz="12" w:space="0" w:color="auto"/>
            </w:tcBorders>
            <w:shd w:val="clear" w:color="auto" w:fill="F3F3F3"/>
            <w:hideMark/>
          </w:tcPr>
          <w:p w:rsidR="00AA0AF0" w:rsidRDefault="00AA0AF0">
            <w:pPr>
              <w:spacing w:line="276" w:lineRule="auto"/>
              <w:jc w:val="center"/>
              <w:rPr>
                <w:rFonts w:ascii="Arial" w:hAnsi="Arial" w:cs="Arial"/>
                <w:b/>
                <w:sz w:val="20"/>
                <w:szCs w:val="20"/>
              </w:rPr>
            </w:pPr>
            <w:r>
              <w:rPr>
                <w:rFonts w:ascii="Arial" w:hAnsi="Arial" w:cs="Arial"/>
                <w:b/>
                <w:sz w:val="20"/>
                <w:szCs w:val="20"/>
              </w:rPr>
              <w:t>Pickups and Clearing Times Adhere to Required Defaults (Yes/No):</w:t>
            </w:r>
          </w:p>
        </w:tc>
      </w:tr>
      <w:tr w:rsidR="00AA0AF0" w:rsidTr="00AA0AF0">
        <w:trPr>
          <w:trHeight w:val="288"/>
        </w:trPr>
        <w:tc>
          <w:tcPr>
            <w:tcW w:w="2448" w:type="dxa"/>
            <w:tcBorders>
              <w:top w:val="double" w:sz="4" w:space="0" w:color="auto"/>
              <w:left w:val="single" w:sz="12"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Under Frequency (81U)</w:t>
            </w:r>
          </w:p>
        </w:tc>
        <w:tc>
          <w:tcPr>
            <w:tcW w:w="2880" w:type="dxa"/>
            <w:tcBorders>
              <w:top w:val="double" w:sz="4" w:space="0" w:color="auto"/>
              <w:left w:val="single" w:sz="4"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56.5 Hz</w:t>
            </w:r>
          </w:p>
        </w:tc>
        <w:tc>
          <w:tcPr>
            <w:tcW w:w="1620" w:type="dxa"/>
            <w:tcBorders>
              <w:top w:val="double" w:sz="4" w:space="0" w:color="auto"/>
              <w:left w:val="single" w:sz="4" w:space="0" w:color="auto"/>
              <w:bottom w:val="single" w:sz="4"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0.16</w:t>
            </w:r>
          </w:p>
        </w:tc>
        <w:tc>
          <w:tcPr>
            <w:tcW w:w="1620" w:type="dxa"/>
            <w:tcBorders>
              <w:top w:val="double" w:sz="4" w:space="0" w:color="auto"/>
              <w:left w:val="single" w:sz="4" w:space="0" w:color="auto"/>
              <w:bottom w:val="single" w:sz="4" w:space="0" w:color="auto"/>
              <w:right w:val="single" w:sz="12" w:space="0" w:color="auto"/>
            </w:tcBorders>
          </w:tcPr>
          <w:p w:rsidR="00AA0AF0" w:rsidRDefault="00AA0AF0">
            <w:pPr>
              <w:spacing w:line="276" w:lineRule="auto"/>
              <w:rPr>
                <w:rFonts w:ascii="Arial" w:hAnsi="Arial" w:cs="Arial"/>
                <w:b/>
                <w:sz w:val="20"/>
                <w:szCs w:val="20"/>
              </w:rPr>
            </w:pPr>
          </w:p>
        </w:tc>
      </w:tr>
      <w:tr w:rsidR="00AA0AF0" w:rsidTr="00AA0AF0">
        <w:trPr>
          <w:trHeight w:val="288"/>
        </w:trPr>
        <w:tc>
          <w:tcPr>
            <w:tcW w:w="2448" w:type="dxa"/>
            <w:tcBorders>
              <w:top w:val="single" w:sz="4" w:space="0" w:color="auto"/>
              <w:left w:val="single" w:sz="12"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Under Frequency (81U)</w:t>
            </w:r>
          </w:p>
        </w:tc>
        <w:tc>
          <w:tcPr>
            <w:tcW w:w="2880" w:type="dxa"/>
            <w:tcBorders>
              <w:top w:val="single" w:sz="4" w:space="0" w:color="auto"/>
              <w:left w:val="single" w:sz="4"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58.5 Hz</w:t>
            </w:r>
          </w:p>
        </w:tc>
        <w:tc>
          <w:tcPr>
            <w:tcW w:w="1620" w:type="dxa"/>
            <w:tcBorders>
              <w:top w:val="single" w:sz="4" w:space="0" w:color="auto"/>
              <w:left w:val="single" w:sz="4" w:space="0" w:color="auto"/>
              <w:bottom w:val="single" w:sz="4"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300</w:t>
            </w:r>
          </w:p>
        </w:tc>
        <w:tc>
          <w:tcPr>
            <w:tcW w:w="1620" w:type="dxa"/>
            <w:tcBorders>
              <w:top w:val="single" w:sz="4" w:space="0" w:color="auto"/>
              <w:left w:val="single" w:sz="4" w:space="0" w:color="auto"/>
              <w:bottom w:val="single" w:sz="4" w:space="0" w:color="auto"/>
              <w:right w:val="single" w:sz="12" w:space="0" w:color="auto"/>
            </w:tcBorders>
          </w:tcPr>
          <w:p w:rsidR="00AA0AF0" w:rsidRDefault="00AA0AF0">
            <w:pPr>
              <w:spacing w:line="276" w:lineRule="auto"/>
              <w:rPr>
                <w:rFonts w:ascii="Arial" w:hAnsi="Arial" w:cs="Arial"/>
                <w:b/>
                <w:sz w:val="20"/>
                <w:szCs w:val="20"/>
              </w:rPr>
            </w:pPr>
          </w:p>
        </w:tc>
      </w:tr>
      <w:tr w:rsidR="00AA0AF0" w:rsidTr="00AA0AF0">
        <w:trPr>
          <w:trHeight w:val="288"/>
        </w:trPr>
        <w:tc>
          <w:tcPr>
            <w:tcW w:w="2448" w:type="dxa"/>
            <w:tcBorders>
              <w:top w:val="single" w:sz="4" w:space="0" w:color="auto"/>
              <w:left w:val="single" w:sz="12"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Over Frequency (81O)</w:t>
            </w:r>
          </w:p>
        </w:tc>
        <w:tc>
          <w:tcPr>
            <w:tcW w:w="2880" w:type="dxa"/>
            <w:tcBorders>
              <w:top w:val="single" w:sz="4" w:space="0" w:color="auto"/>
              <w:left w:val="single" w:sz="4"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61.2 Hz</w:t>
            </w:r>
          </w:p>
        </w:tc>
        <w:tc>
          <w:tcPr>
            <w:tcW w:w="1620" w:type="dxa"/>
            <w:tcBorders>
              <w:top w:val="single" w:sz="4" w:space="0" w:color="auto"/>
              <w:left w:val="single" w:sz="4" w:space="0" w:color="auto"/>
              <w:bottom w:val="single" w:sz="4"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300</w:t>
            </w:r>
          </w:p>
        </w:tc>
        <w:tc>
          <w:tcPr>
            <w:tcW w:w="1620" w:type="dxa"/>
            <w:tcBorders>
              <w:top w:val="single" w:sz="4" w:space="0" w:color="auto"/>
              <w:left w:val="single" w:sz="4" w:space="0" w:color="auto"/>
              <w:bottom w:val="single" w:sz="4" w:space="0" w:color="auto"/>
              <w:right w:val="single" w:sz="12" w:space="0" w:color="auto"/>
            </w:tcBorders>
          </w:tcPr>
          <w:p w:rsidR="00AA0AF0" w:rsidRDefault="00AA0AF0">
            <w:pPr>
              <w:spacing w:line="276" w:lineRule="auto"/>
              <w:rPr>
                <w:rFonts w:ascii="Arial" w:hAnsi="Arial" w:cs="Arial"/>
                <w:b/>
                <w:sz w:val="20"/>
                <w:szCs w:val="20"/>
              </w:rPr>
            </w:pPr>
          </w:p>
        </w:tc>
      </w:tr>
      <w:tr w:rsidR="00AA0AF0" w:rsidTr="00AA0AF0">
        <w:trPr>
          <w:trHeight w:val="288"/>
        </w:trPr>
        <w:tc>
          <w:tcPr>
            <w:tcW w:w="2448" w:type="dxa"/>
            <w:tcBorders>
              <w:top w:val="single" w:sz="4" w:space="0" w:color="auto"/>
              <w:left w:val="single" w:sz="12"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Over Frequency (81O)</w:t>
            </w:r>
          </w:p>
        </w:tc>
        <w:tc>
          <w:tcPr>
            <w:tcW w:w="2880" w:type="dxa"/>
            <w:tcBorders>
              <w:top w:val="single" w:sz="4" w:space="0" w:color="auto"/>
              <w:left w:val="single" w:sz="4"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62.0 Hz</w:t>
            </w:r>
          </w:p>
        </w:tc>
        <w:tc>
          <w:tcPr>
            <w:tcW w:w="1620" w:type="dxa"/>
            <w:tcBorders>
              <w:top w:val="single" w:sz="4" w:space="0" w:color="auto"/>
              <w:left w:val="single" w:sz="4" w:space="0" w:color="auto"/>
              <w:bottom w:val="single" w:sz="4"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0.16</w:t>
            </w:r>
          </w:p>
        </w:tc>
        <w:tc>
          <w:tcPr>
            <w:tcW w:w="1620" w:type="dxa"/>
            <w:tcBorders>
              <w:top w:val="single" w:sz="4" w:space="0" w:color="auto"/>
              <w:left w:val="single" w:sz="4" w:space="0" w:color="auto"/>
              <w:bottom w:val="single" w:sz="4" w:space="0" w:color="auto"/>
              <w:right w:val="single" w:sz="12" w:space="0" w:color="auto"/>
            </w:tcBorders>
          </w:tcPr>
          <w:p w:rsidR="00AA0AF0" w:rsidRDefault="00AA0AF0">
            <w:pPr>
              <w:spacing w:line="276" w:lineRule="auto"/>
              <w:rPr>
                <w:rFonts w:ascii="Arial" w:hAnsi="Arial" w:cs="Arial"/>
                <w:b/>
                <w:sz w:val="20"/>
                <w:szCs w:val="20"/>
              </w:rPr>
            </w:pPr>
          </w:p>
        </w:tc>
      </w:tr>
      <w:tr w:rsidR="00AA0AF0" w:rsidTr="00AA0AF0">
        <w:trPr>
          <w:trHeight w:val="288"/>
        </w:trPr>
        <w:tc>
          <w:tcPr>
            <w:tcW w:w="2448" w:type="dxa"/>
            <w:tcBorders>
              <w:top w:val="single" w:sz="4" w:space="0" w:color="auto"/>
              <w:left w:val="single" w:sz="12"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Under Voltage (27)</w:t>
            </w:r>
          </w:p>
        </w:tc>
        <w:tc>
          <w:tcPr>
            <w:tcW w:w="2880" w:type="dxa"/>
            <w:tcBorders>
              <w:top w:val="single" w:sz="4" w:space="0" w:color="auto"/>
              <w:left w:val="single" w:sz="4"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50%</w:t>
            </w:r>
            <w:r>
              <w:rPr>
                <w:rFonts w:ascii="Arial" w:hAnsi="Arial" w:cs="Arial"/>
                <w:sz w:val="20"/>
                <w:szCs w:val="20"/>
              </w:rPr>
              <w:t xml:space="preserve"> of Nominal</w:t>
            </w:r>
          </w:p>
        </w:tc>
        <w:tc>
          <w:tcPr>
            <w:tcW w:w="1620" w:type="dxa"/>
            <w:tcBorders>
              <w:top w:val="single" w:sz="4" w:space="0" w:color="auto"/>
              <w:left w:val="single" w:sz="4" w:space="0" w:color="auto"/>
              <w:bottom w:val="single" w:sz="4"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1.1</w:t>
            </w:r>
          </w:p>
        </w:tc>
        <w:tc>
          <w:tcPr>
            <w:tcW w:w="1620" w:type="dxa"/>
            <w:tcBorders>
              <w:top w:val="single" w:sz="4" w:space="0" w:color="auto"/>
              <w:left w:val="single" w:sz="4" w:space="0" w:color="auto"/>
              <w:bottom w:val="single" w:sz="4" w:space="0" w:color="auto"/>
              <w:right w:val="single" w:sz="12" w:space="0" w:color="auto"/>
            </w:tcBorders>
          </w:tcPr>
          <w:p w:rsidR="00AA0AF0" w:rsidRDefault="00AA0AF0">
            <w:pPr>
              <w:spacing w:line="276" w:lineRule="auto"/>
              <w:rPr>
                <w:rFonts w:ascii="Arial" w:hAnsi="Arial" w:cs="Arial"/>
                <w:b/>
                <w:sz w:val="20"/>
                <w:szCs w:val="20"/>
              </w:rPr>
            </w:pPr>
          </w:p>
        </w:tc>
      </w:tr>
      <w:tr w:rsidR="00AA0AF0" w:rsidTr="00AA0AF0">
        <w:trPr>
          <w:trHeight w:val="288"/>
        </w:trPr>
        <w:tc>
          <w:tcPr>
            <w:tcW w:w="2448" w:type="dxa"/>
            <w:tcBorders>
              <w:top w:val="single" w:sz="4" w:space="0" w:color="auto"/>
              <w:left w:val="single" w:sz="12"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Under Voltage (27)</w:t>
            </w:r>
          </w:p>
        </w:tc>
        <w:tc>
          <w:tcPr>
            <w:tcW w:w="2880" w:type="dxa"/>
            <w:tcBorders>
              <w:top w:val="single" w:sz="4" w:space="0" w:color="auto"/>
              <w:left w:val="single" w:sz="4"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88%</w:t>
            </w:r>
            <w:r>
              <w:rPr>
                <w:rFonts w:ascii="Arial" w:hAnsi="Arial" w:cs="Arial"/>
                <w:sz w:val="20"/>
                <w:szCs w:val="20"/>
              </w:rPr>
              <w:t xml:space="preserve"> of Nominal</w:t>
            </w:r>
          </w:p>
        </w:tc>
        <w:tc>
          <w:tcPr>
            <w:tcW w:w="1620" w:type="dxa"/>
            <w:tcBorders>
              <w:top w:val="single" w:sz="4" w:space="0" w:color="auto"/>
              <w:left w:val="single" w:sz="4" w:space="0" w:color="auto"/>
              <w:bottom w:val="single" w:sz="4"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2</w:t>
            </w:r>
          </w:p>
        </w:tc>
        <w:tc>
          <w:tcPr>
            <w:tcW w:w="1620" w:type="dxa"/>
            <w:tcBorders>
              <w:top w:val="single" w:sz="4" w:space="0" w:color="auto"/>
              <w:left w:val="single" w:sz="4" w:space="0" w:color="auto"/>
              <w:bottom w:val="single" w:sz="4" w:space="0" w:color="auto"/>
              <w:right w:val="single" w:sz="12" w:space="0" w:color="auto"/>
            </w:tcBorders>
          </w:tcPr>
          <w:p w:rsidR="00AA0AF0" w:rsidRDefault="00AA0AF0">
            <w:pPr>
              <w:spacing w:line="276" w:lineRule="auto"/>
              <w:rPr>
                <w:rFonts w:ascii="Arial" w:hAnsi="Arial" w:cs="Arial"/>
                <w:b/>
                <w:sz w:val="20"/>
                <w:szCs w:val="20"/>
              </w:rPr>
            </w:pPr>
          </w:p>
        </w:tc>
      </w:tr>
      <w:tr w:rsidR="00AA0AF0" w:rsidTr="00AA0AF0">
        <w:trPr>
          <w:trHeight w:val="288"/>
        </w:trPr>
        <w:tc>
          <w:tcPr>
            <w:tcW w:w="2448" w:type="dxa"/>
            <w:tcBorders>
              <w:top w:val="single" w:sz="4" w:space="0" w:color="auto"/>
              <w:left w:val="single" w:sz="12"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Over Voltage (59)</w:t>
            </w:r>
          </w:p>
        </w:tc>
        <w:tc>
          <w:tcPr>
            <w:tcW w:w="2880" w:type="dxa"/>
            <w:tcBorders>
              <w:top w:val="single" w:sz="4" w:space="0" w:color="auto"/>
              <w:left w:val="single" w:sz="4" w:space="0" w:color="auto"/>
              <w:bottom w:val="single" w:sz="4"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110%</w:t>
            </w:r>
            <w:r>
              <w:rPr>
                <w:rFonts w:ascii="Arial" w:hAnsi="Arial" w:cs="Arial"/>
                <w:sz w:val="20"/>
                <w:szCs w:val="20"/>
              </w:rPr>
              <w:t xml:space="preserve"> of Nominal</w:t>
            </w:r>
          </w:p>
        </w:tc>
        <w:tc>
          <w:tcPr>
            <w:tcW w:w="1620" w:type="dxa"/>
            <w:tcBorders>
              <w:top w:val="single" w:sz="4" w:space="0" w:color="auto"/>
              <w:left w:val="single" w:sz="4" w:space="0" w:color="auto"/>
              <w:bottom w:val="single" w:sz="4"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2</w:t>
            </w:r>
          </w:p>
        </w:tc>
        <w:tc>
          <w:tcPr>
            <w:tcW w:w="1620" w:type="dxa"/>
            <w:tcBorders>
              <w:top w:val="single" w:sz="4" w:space="0" w:color="auto"/>
              <w:left w:val="single" w:sz="4" w:space="0" w:color="auto"/>
              <w:bottom w:val="single" w:sz="4" w:space="0" w:color="auto"/>
              <w:right w:val="single" w:sz="12" w:space="0" w:color="auto"/>
            </w:tcBorders>
          </w:tcPr>
          <w:p w:rsidR="00AA0AF0" w:rsidRDefault="00AA0AF0">
            <w:pPr>
              <w:spacing w:line="276" w:lineRule="auto"/>
              <w:rPr>
                <w:rFonts w:ascii="Arial" w:hAnsi="Arial" w:cs="Arial"/>
                <w:b/>
                <w:sz w:val="20"/>
                <w:szCs w:val="20"/>
              </w:rPr>
            </w:pPr>
          </w:p>
        </w:tc>
      </w:tr>
      <w:tr w:rsidR="00AA0AF0" w:rsidTr="00AA0AF0">
        <w:trPr>
          <w:trHeight w:val="288"/>
        </w:trPr>
        <w:tc>
          <w:tcPr>
            <w:tcW w:w="2448" w:type="dxa"/>
            <w:tcBorders>
              <w:top w:val="single" w:sz="4" w:space="0" w:color="auto"/>
              <w:left w:val="single" w:sz="12" w:space="0" w:color="auto"/>
              <w:bottom w:val="single" w:sz="12"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sz w:val="20"/>
                <w:szCs w:val="20"/>
              </w:rPr>
              <w:t>Over Voltage (59)</w:t>
            </w:r>
          </w:p>
        </w:tc>
        <w:tc>
          <w:tcPr>
            <w:tcW w:w="2880" w:type="dxa"/>
            <w:tcBorders>
              <w:top w:val="single" w:sz="4" w:space="0" w:color="auto"/>
              <w:left w:val="single" w:sz="4" w:space="0" w:color="auto"/>
              <w:bottom w:val="single" w:sz="12" w:space="0" w:color="auto"/>
              <w:right w:val="single" w:sz="4" w:space="0" w:color="auto"/>
            </w:tcBorders>
            <w:hideMark/>
          </w:tcPr>
          <w:p w:rsidR="00AA0AF0" w:rsidRDefault="00AA0AF0">
            <w:pPr>
              <w:spacing w:line="276" w:lineRule="auto"/>
              <w:rPr>
                <w:rFonts w:ascii="Arial" w:hAnsi="Arial" w:cs="Arial"/>
                <w:sz w:val="20"/>
                <w:szCs w:val="20"/>
              </w:rPr>
            </w:pPr>
            <w:r>
              <w:rPr>
                <w:rFonts w:ascii="Arial" w:hAnsi="Arial" w:cs="Arial"/>
                <w:b/>
                <w:sz w:val="20"/>
                <w:szCs w:val="20"/>
              </w:rPr>
              <w:t>120%</w:t>
            </w:r>
            <w:r>
              <w:rPr>
                <w:rFonts w:ascii="Arial" w:hAnsi="Arial" w:cs="Arial"/>
                <w:sz w:val="20"/>
                <w:szCs w:val="20"/>
              </w:rPr>
              <w:t xml:space="preserve"> of Nominal</w:t>
            </w:r>
          </w:p>
        </w:tc>
        <w:tc>
          <w:tcPr>
            <w:tcW w:w="1620" w:type="dxa"/>
            <w:tcBorders>
              <w:top w:val="single" w:sz="4" w:space="0" w:color="auto"/>
              <w:left w:val="single" w:sz="4" w:space="0" w:color="auto"/>
              <w:bottom w:val="single" w:sz="12" w:space="0" w:color="auto"/>
              <w:right w:val="single" w:sz="12" w:space="0" w:color="auto"/>
            </w:tcBorders>
            <w:hideMark/>
          </w:tcPr>
          <w:p w:rsidR="00AA0AF0" w:rsidRDefault="00AA0AF0">
            <w:pPr>
              <w:spacing w:line="276" w:lineRule="auto"/>
              <w:rPr>
                <w:rFonts w:ascii="Arial" w:hAnsi="Arial" w:cs="Arial"/>
                <w:b/>
                <w:sz w:val="20"/>
                <w:szCs w:val="20"/>
              </w:rPr>
            </w:pPr>
            <w:r>
              <w:rPr>
                <w:rFonts w:ascii="Arial" w:hAnsi="Arial" w:cs="Arial"/>
                <w:b/>
                <w:sz w:val="20"/>
                <w:szCs w:val="20"/>
              </w:rPr>
              <w:t>0.16</w:t>
            </w:r>
          </w:p>
        </w:tc>
        <w:tc>
          <w:tcPr>
            <w:tcW w:w="1620" w:type="dxa"/>
            <w:tcBorders>
              <w:top w:val="single" w:sz="4" w:space="0" w:color="auto"/>
              <w:left w:val="single" w:sz="4" w:space="0" w:color="auto"/>
              <w:bottom w:val="single" w:sz="12" w:space="0" w:color="auto"/>
              <w:right w:val="single" w:sz="12" w:space="0" w:color="auto"/>
            </w:tcBorders>
          </w:tcPr>
          <w:p w:rsidR="00AA0AF0" w:rsidRDefault="00AA0AF0">
            <w:pPr>
              <w:spacing w:line="276" w:lineRule="auto"/>
              <w:rPr>
                <w:rFonts w:ascii="Arial" w:hAnsi="Arial" w:cs="Arial"/>
                <w:b/>
                <w:sz w:val="20"/>
                <w:szCs w:val="20"/>
              </w:rPr>
            </w:pPr>
          </w:p>
        </w:tc>
      </w:tr>
    </w:tbl>
    <w:p w:rsidR="00AA0AF0" w:rsidRPr="00AA0AF0" w:rsidRDefault="00AA0AF0" w:rsidP="00AA0AF0">
      <w:pPr>
        <w:rPr>
          <w:rFonts w:ascii="Arial" w:hAnsi="Arial" w:cs="Arial"/>
          <w:i/>
        </w:rPr>
      </w:pPr>
    </w:p>
    <w:p w:rsidR="00AA0AF0" w:rsidRDefault="00AA0AF0" w:rsidP="00AA0AF0">
      <w:pPr>
        <w:rPr>
          <w:rFonts w:ascii="Arial" w:hAnsi="Arial" w:cs="Arial"/>
          <w:b/>
        </w:rPr>
      </w:pPr>
      <w:r>
        <w:rPr>
          <w:rFonts w:ascii="Arial" w:hAnsi="Arial" w:cs="Arial"/>
          <w:b/>
        </w:rPr>
        <w:t>Requirement 3: Verify the Inverter Grid Support Functions are set according to the Advanced Functions Activation Table below per section 7.8.2 of ESB 756 and the ISO NE SRD:</w:t>
      </w:r>
    </w:p>
    <w:p w:rsidR="00AA0AF0" w:rsidRDefault="00AA0AF0" w:rsidP="00AA0AF0">
      <w:pPr>
        <w:rPr>
          <w:rFonts w:ascii="Arial" w:hAnsi="Arial" w:cs="Arial"/>
        </w:rPr>
      </w:pPr>
    </w:p>
    <w:p w:rsidR="00AA0AF0" w:rsidRDefault="00AA0AF0" w:rsidP="00AA0AF0">
      <w:pPr>
        <w:rPr>
          <w:rFonts w:ascii="Arial" w:hAnsi="Arial" w:cs="Arial"/>
        </w:rPr>
      </w:pPr>
      <w:r>
        <w:rPr>
          <w:rFonts w:ascii="Arial" w:hAnsi="Arial" w:cs="Arial"/>
        </w:rPr>
        <w:t>Verify that ISO NE SRD group settings have been confirmed by the manufacturer AND that ISO NE SRD group setting is ENABLED (if available), OR manually check the following states are applied in the inverter:</w:t>
      </w:r>
    </w:p>
    <w:p w:rsidR="00AA0AF0" w:rsidRPr="00AA0AF0" w:rsidRDefault="00AA0AF0" w:rsidP="00AA0AF0">
      <w:pPr>
        <w:pStyle w:val="ListParagraph"/>
        <w:numPr>
          <w:ilvl w:val="0"/>
          <w:numId w:val="1"/>
        </w:numPr>
        <w:spacing w:after="200" w:line="276" w:lineRule="auto"/>
        <w:contextualSpacing/>
        <w:rPr>
          <w:rFonts w:cs="Arial"/>
        </w:rPr>
      </w:pPr>
      <w:r>
        <w:rPr>
          <w:rFonts w:cs="Arial"/>
        </w:rPr>
        <w:t>Advanced Functions Activation Table:</w:t>
      </w:r>
    </w:p>
    <w:tbl>
      <w:tblPr>
        <w:tblStyle w:val="TableGrid"/>
        <w:tblW w:w="0" w:type="auto"/>
        <w:tblInd w:w="0" w:type="dxa"/>
        <w:tblLook w:val="04A0" w:firstRow="1" w:lastRow="0" w:firstColumn="1" w:lastColumn="0" w:noHBand="0" w:noVBand="1"/>
      </w:tblPr>
      <w:tblGrid>
        <w:gridCol w:w="3288"/>
        <w:gridCol w:w="3337"/>
        <w:gridCol w:w="2951"/>
      </w:tblGrid>
      <w:tr w:rsidR="00AA0AF0" w:rsidTr="00AA0AF0">
        <w:trPr>
          <w:tblHeader/>
        </w:trPr>
        <w:tc>
          <w:tcPr>
            <w:tcW w:w="3288" w:type="dxa"/>
            <w:tcBorders>
              <w:top w:val="single" w:sz="4" w:space="0" w:color="auto"/>
              <w:left w:val="single" w:sz="4" w:space="0" w:color="auto"/>
              <w:bottom w:val="single" w:sz="4" w:space="0" w:color="auto"/>
              <w:right w:val="single" w:sz="4" w:space="0" w:color="auto"/>
            </w:tcBorders>
            <w:shd w:val="pct5" w:color="auto" w:fill="auto"/>
            <w:hideMark/>
          </w:tcPr>
          <w:p w:rsidR="00AA0AF0" w:rsidRDefault="00AA0AF0">
            <w:pPr>
              <w:autoSpaceDE w:val="0"/>
              <w:autoSpaceDN w:val="0"/>
              <w:adjustRightInd w:val="0"/>
              <w:jc w:val="center"/>
              <w:rPr>
                <w:rFonts w:ascii="Arial" w:hAnsi="Arial" w:cs="Arial"/>
                <w:b/>
              </w:rPr>
            </w:pPr>
            <w:r>
              <w:rPr>
                <w:rFonts w:ascii="Arial" w:hAnsi="Arial" w:cs="Arial"/>
                <w:b/>
              </w:rPr>
              <w:t>Function</w:t>
            </w:r>
          </w:p>
        </w:tc>
        <w:tc>
          <w:tcPr>
            <w:tcW w:w="3337" w:type="dxa"/>
            <w:tcBorders>
              <w:top w:val="single" w:sz="4" w:space="0" w:color="auto"/>
              <w:left w:val="single" w:sz="4" w:space="0" w:color="auto"/>
              <w:bottom w:val="single" w:sz="4" w:space="0" w:color="auto"/>
              <w:right w:val="single" w:sz="4" w:space="0" w:color="auto"/>
            </w:tcBorders>
            <w:shd w:val="pct5" w:color="auto" w:fill="auto"/>
            <w:hideMark/>
          </w:tcPr>
          <w:p w:rsidR="00AA0AF0" w:rsidRDefault="00AA0AF0">
            <w:pPr>
              <w:jc w:val="center"/>
              <w:rPr>
                <w:rFonts w:ascii="Arial" w:hAnsi="Arial" w:cs="Arial"/>
                <w:b/>
              </w:rPr>
            </w:pPr>
            <w:r>
              <w:rPr>
                <w:rFonts w:ascii="Arial" w:hAnsi="Arial" w:cs="Arial"/>
                <w:b/>
              </w:rPr>
              <w:t>Default Activation State</w:t>
            </w:r>
          </w:p>
        </w:tc>
        <w:tc>
          <w:tcPr>
            <w:tcW w:w="2951" w:type="dxa"/>
            <w:tcBorders>
              <w:top w:val="single" w:sz="4" w:space="0" w:color="auto"/>
              <w:left w:val="single" w:sz="4" w:space="0" w:color="auto"/>
              <w:bottom w:val="single" w:sz="4" w:space="0" w:color="auto"/>
              <w:right w:val="single" w:sz="4" w:space="0" w:color="auto"/>
            </w:tcBorders>
            <w:shd w:val="pct5" w:color="auto" w:fill="auto"/>
            <w:hideMark/>
          </w:tcPr>
          <w:p w:rsidR="00AA0AF0" w:rsidRDefault="00AA0AF0">
            <w:pPr>
              <w:jc w:val="center"/>
              <w:rPr>
                <w:rFonts w:ascii="Arial" w:hAnsi="Arial" w:cs="Arial"/>
                <w:b/>
              </w:rPr>
            </w:pPr>
            <w:r>
              <w:rPr>
                <w:rFonts w:ascii="Arial" w:hAnsi="Arial" w:cs="Arial"/>
                <w:b/>
              </w:rPr>
              <w:t>Set to Required Default State? Yes/No</w:t>
            </w:r>
          </w:p>
        </w:tc>
      </w:tr>
      <w:tr w:rsidR="00AA0AF0" w:rsidTr="00AA0AF0">
        <w:tc>
          <w:tcPr>
            <w:tcW w:w="3288" w:type="dxa"/>
            <w:tcBorders>
              <w:top w:val="single" w:sz="4" w:space="0" w:color="auto"/>
              <w:left w:val="single" w:sz="4" w:space="0" w:color="auto"/>
              <w:bottom w:val="single" w:sz="4" w:space="0" w:color="auto"/>
              <w:right w:val="single" w:sz="4" w:space="0" w:color="auto"/>
            </w:tcBorders>
            <w:hideMark/>
          </w:tcPr>
          <w:p w:rsidR="00AA0AF0" w:rsidRDefault="00AA0AF0">
            <w:pPr>
              <w:autoSpaceDE w:val="0"/>
              <w:autoSpaceDN w:val="0"/>
              <w:adjustRightInd w:val="0"/>
              <w:jc w:val="center"/>
              <w:rPr>
                <w:rFonts w:ascii="Arial" w:hAnsi="Arial" w:cs="Arial"/>
              </w:rPr>
            </w:pPr>
            <w:r>
              <w:rPr>
                <w:rFonts w:ascii="Arial" w:hAnsi="Arial" w:cs="Arial"/>
              </w:rPr>
              <w:t>SPF, Specified Power Factor</w:t>
            </w:r>
          </w:p>
        </w:tc>
        <w:tc>
          <w:tcPr>
            <w:tcW w:w="3337" w:type="dxa"/>
            <w:tcBorders>
              <w:top w:val="single" w:sz="4" w:space="0" w:color="auto"/>
              <w:left w:val="single" w:sz="4" w:space="0" w:color="auto"/>
              <w:bottom w:val="single" w:sz="4" w:space="0" w:color="auto"/>
              <w:right w:val="single" w:sz="4" w:space="0" w:color="auto"/>
            </w:tcBorders>
            <w:hideMark/>
          </w:tcPr>
          <w:p w:rsidR="00AA0AF0" w:rsidRDefault="00AA0AF0">
            <w:pPr>
              <w:jc w:val="center"/>
              <w:rPr>
                <w:rFonts w:ascii="Arial" w:hAnsi="Arial" w:cs="Arial"/>
              </w:rPr>
            </w:pPr>
            <w:r>
              <w:rPr>
                <w:rFonts w:ascii="Arial" w:hAnsi="Arial" w:cs="Arial"/>
              </w:rPr>
              <w:t>OFF</w:t>
            </w:r>
            <w:r>
              <w:rPr>
                <w:rStyle w:val="FootnoteReference"/>
                <w:rFonts w:ascii="Arial" w:hAnsi="Arial" w:cs="Arial"/>
                <w:vertAlign w:val="superscript"/>
              </w:rPr>
              <w:footnoteReference w:id="1"/>
            </w:r>
          </w:p>
        </w:tc>
        <w:tc>
          <w:tcPr>
            <w:tcW w:w="2951" w:type="dxa"/>
            <w:tcBorders>
              <w:top w:val="single" w:sz="4" w:space="0" w:color="auto"/>
              <w:left w:val="single" w:sz="4" w:space="0" w:color="auto"/>
              <w:bottom w:val="single" w:sz="4" w:space="0" w:color="auto"/>
              <w:right w:val="single" w:sz="4" w:space="0" w:color="auto"/>
            </w:tcBorders>
          </w:tcPr>
          <w:p w:rsidR="00AA0AF0" w:rsidRDefault="00AA0AF0">
            <w:pPr>
              <w:jc w:val="center"/>
              <w:rPr>
                <w:rFonts w:ascii="Arial" w:hAnsi="Arial" w:cs="Arial"/>
              </w:rPr>
            </w:pPr>
          </w:p>
        </w:tc>
      </w:tr>
      <w:tr w:rsidR="00AA0AF0" w:rsidTr="00AA0AF0">
        <w:tc>
          <w:tcPr>
            <w:tcW w:w="3288" w:type="dxa"/>
            <w:tcBorders>
              <w:top w:val="single" w:sz="4" w:space="0" w:color="auto"/>
              <w:left w:val="single" w:sz="4" w:space="0" w:color="auto"/>
              <w:bottom w:val="single" w:sz="4" w:space="0" w:color="auto"/>
              <w:right w:val="single" w:sz="4" w:space="0" w:color="auto"/>
            </w:tcBorders>
            <w:hideMark/>
          </w:tcPr>
          <w:p w:rsidR="00AA0AF0" w:rsidRDefault="00AA0AF0">
            <w:pPr>
              <w:autoSpaceDE w:val="0"/>
              <w:autoSpaceDN w:val="0"/>
              <w:adjustRightInd w:val="0"/>
              <w:jc w:val="center"/>
              <w:rPr>
                <w:rFonts w:ascii="Arial" w:hAnsi="Arial" w:cs="Arial"/>
              </w:rPr>
            </w:pPr>
            <w:r>
              <w:rPr>
                <w:rFonts w:ascii="Arial" w:hAnsi="Arial" w:cs="Arial"/>
              </w:rPr>
              <w:t>Q(V), Volt-</w:t>
            </w:r>
            <w:proofErr w:type="spellStart"/>
            <w:r>
              <w:rPr>
                <w:rFonts w:ascii="Arial" w:hAnsi="Arial" w:cs="Arial"/>
              </w:rPr>
              <w:t>Var</w:t>
            </w:r>
            <w:proofErr w:type="spellEnd"/>
            <w:r>
              <w:rPr>
                <w:rFonts w:ascii="Arial" w:hAnsi="Arial" w:cs="Arial"/>
              </w:rPr>
              <w:t xml:space="preserve"> Function with Watt or </w:t>
            </w:r>
            <w:proofErr w:type="spellStart"/>
            <w:r>
              <w:rPr>
                <w:rFonts w:ascii="Arial" w:hAnsi="Arial" w:cs="Arial"/>
              </w:rPr>
              <w:t>Var</w:t>
            </w:r>
            <w:proofErr w:type="spellEnd"/>
            <w:r>
              <w:rPr>
                <w:rFonts w:ascii="Arial" w:hAnsi="Arial" w:cs="Arial"/>
              </w:rPr>
              <w:t xml:space="preserve"> Priority</w:t>
            </w:r>
          </w:p>
        </w:tc>
        <w:tc>
          <w:tcPr>
            <w:tcW w:w="3337" w:type="dxa"/>
            <w:tcBorders>
              <w:top w:val="single" w:sz="4" w:space="0" w:color="auto"/>
              <w:left w:val="single" w:sz="4" w:space="0" w:color="auto"/>
              <w:bottom w:val="single" w:sz="4" w:space="0" w:color="auto"/>
              <w:right w:val="single" w:sz="4" w:space="0" w:color="auto"/>
            </w:tcBorders>
            <w:hideMark/>
          </w:tcPr>
          <w:p w:rsidR="00AA0AF0" w:rsidRDefault="00AA0AF0">
            <w:pPr>
              <w:jc w:val="center"/>
              <w:rPr>
                <w:rFonts w:ascii="Arial" w:hAnsi="Arial" w:cs="Arial"/>
              </w:rPr>
            </w:pPr>
            <w:r>
              <w:rPr>
                <w:rFonts w:ascii="Arial" w:hAnsi="Arial" w:cs="Arial"/>
              </w:rPr>
              <w:t>OFF</w:t>
            </w:r>
          </w:p>
        </w:tc>
        <w:tc>
          <w:tcPr>
            <w:tcW w:w="2951" w:type="dxa"/>
            <w:tcBorders>
              <w:top w:val="single" w:sz="4" w:space="0" w:color="auto"/>
              <w:left w:val="single" w:sz="4" w:space="0" w:color="auto"/>
              <w:bottom w:val="single" w:sz="4" w:space="0" w:color="auto"/>
              <w:right w:val="single" w:sz="4" w:space="0" w:color="auto"/>
            </w:tcBorders>
          </w:tcPr>
          <w:p w:rsidR="00AA0AF0" w:rsidRDefault="00AA0AF0">
            <w:pPr>
              <w:jc w:val="center"/>
              <w:rPr>
                <w:rFonts w:ascii="Arial" w:hAnsi="Arial" w:cs="Arial"/>
              </w:rPr>
            </w:pPr>
          </w:p>
        </w:tc>
      </w:tr>
      <w:tr w:rsidR="00AA0AF0" w:rsidTr="00AA0AF0">
        <w:tc>
          <w:tcPr>
            <w:tcW w:w="3288" w:type="dxa"/>
            <w:tcBorders>
              <w:top w:val="single" w:sz="4" w:space="0" w:color="auto"/>
              <w:left w:val="single" w:sz="4" w:space="0" w:color="auto"/>
              <w:bottom w:val="single" w:sz="4" w:space="0" w:color="auto"/>
              <w:right w:val="single" w:sz="4" w:space="0" w:color="auto"/>
            </w:tcBorders>
            <w:hideMark/>
          </w:tcPr>
          <w:p w:rsidR="00AA0AF0" w:rsidRDefault="00AA0AF0">
            <w:pPr>
              <w:autoSpaceDE w:val="0"/>
              <w:autoSpaceDN w:val="0"/>
              <w:adjustRightInd w:val="0"/>
              <w:jc w:val="center"/>
              <w:rPr>
                <w:rFonts w:ascii="Arial" w:hAnsi="Arial" w:cs="Arial"/>
              </w:rPr>
            </w:pPr>
            <w:r>
              <w:rPr>
                <w:rFonts w:ascii="Arial" w:hAnsi="Arial" w:cs="Arial"/>
              </w:rPr>
              <w:t>SS, Soft-Start Ramp Rate</w:t>
            </w:r>
          </w:p>
        </w:tc>
        <w:tc>
          <w:tcPr>
            <w:tcW w:w="3337" w:type="dxa"/>
            <w:tcBorders>
              <w:top w:val="single" w:sz="4" w:space="0" w:color="auto"/>
              <w:left w:val="single" w:sz="4" w:space="0" w:color="auto"/>
              <w:bottom w:val="single" w:sz="4" w:space="0" w:color="auto"/>
              <w:right w:val="single" w:sz="4" w:space="0" w:color="auto"/>
            </w:tcBorders>
            <w:hideMark/>
          </w:tcPr>
          <w:p w:rsidR="00AA0AF0" w:rsidRDefault="00AA0AF0">
            <w:pPr>
              <w:jc w:val="center"/>
              <w:rPr>
                <w:rFonts w:ascii="Arial" w:hAnsi="Arial" w:cs="Arial"/>
              </w:rPr>
            </w:pPr>
            <w:r>
              <w:rPr>
                <w:rFonts w:ascii="Arial" w:hAnsi="Arial" w:cs="Arial"/>
              </w:rPr>
              <w:t>ON</w:t>
            </w:r>
          </w:p>
          <w:p w:rsidR="00AA0AF0" w:rsidRDefault="00AA0AF0">
            <w:pPr>
              <w:jc w:val="center"/>
              <w:rPr>
                <w:rFonts w:ascii="Arial" w:hAnsi="Arial" w:cs="Arial"/>
              </w:rPr>
            </w:pPr>
            <w:r>
              <w:rPr>
                <w:rFonts w:ascii="Arial" w:hAnsi="Arial" w:cs="Arial"/>
              </w:rPr>
              <w:t>Default value: 2% of maximum current output per second</w:t>
            </w:r>
          </w:p>
        </w:tc>
        <w:tc>
          <w:tcPr>
            <w:tcW w:w="2951" w:type="dxa"/>
            <w:tcBorders>
              <w:top w:val="single" w:sz="4" w:space="0" w:color="auto"/>
              <w:left w:val="single" w:sz="4" w:space="0" w:color="auto"/>
              <w:bottom w:val="single" w:sz="4" w:space="0" w:color="auto"/>
              <w:right w:val="single" w:sz="4" w:space="0" w:color="auto"/>
            </w:tcBorders>
          </w:tcPr>
          <w:p w:rsidR="00AA0AF0" w:rsidRDefault="00AA0AF0">
            <w:pPr>
              <w:jc w:val="center"/>
              <w:rPr>
                <w:rFonts w:ascii="Arial" w:hAnsi="Arial" w:cs="Arial"/>
              </w:rPr>
            </w:pPr>
          </w:p>
        </w:tc>
      </w:tr>
      <w:tr w:rsidR="00AA0AF0" w:rsidTr="00AA0AF0">
        <w:tc>
          <w:tcPr>
            <w:tcW w:w="3288" w:type="dxa"/>
            <w:tcBorders>
              <w:top w:val="single" w:sz="4" w:space="0" w:color="auto"/>
              <w:left w:val="single" w:sz="4" w:space="0" w:color="auto"/>
              <w:bottom w:val="single" w:sz="4" w:space="0" w:color="auto"/>
              <w:right w:val="single" w:sz="4" w:space="0" w:color="auto"/>
            </w:tcBorders>
            <w:hideMark/>
          </w:tcPr>
          <w:p w:rsidR="00AA0AF0" w:rsidRDefault="00AA0AF0">
            <w:pPr>
              <w:jc w:val="center"/>
              <w:rPr>
                <w:rFonts w:ascii="Arial" w:hAnsi="Arial" w:cs="Arial"/>
              </w:rPr>
            </w:pPr>
            <w:r>
              <w:rPr>
                <w:rFonts w:ascii="Arial" w:hAnsi="Arial" w:cs="Arial"/>
              </w:rPr>
              <w:t xml:space="preserve">FW, </w:t>
            </w:r>
            <w:proofErr w:type="spellStart"/>
            <w:r>
              <w:rPr>
                <w:rFonts w:ascii="Arial" w:hAnsi="Arial" w:cs="Arial"/>
              </w:rPr>
              <w:t>Freq</w:t>
            </w:r>
            <w:proofErr w:type="spellEnd"/>
            <w:r>
              <w:rPr>
                <w:rFonts w:ascii="Arial" w:hAnsi="Arial" w:cs="Arial"/>
              </w:rPr>
              <w:t>-Watt Function OFF</w:t>
            </w:r>
          </w:p>
        </w:tc>
        <w:tc>
          <w:tcPr>
            <w:tcW w:w="3337" w:type="dxa"/>
            <w:tcBorders>
              <w:top w:val="single" w:sz="4" w:space="0" w:color="auto"/>
              <w:left w:val="single" w:sz="4" w:space="0" w:color="auto"/>
              <w:bottom w:val="single" w:sz="4" w:space="0" w:color="auto"/>
              <w:right w:val="single" w:sz="4" w:space="0" w:color="auto"/>
            </w:tcBorders>
            <w:hideMark/>
          </w:tcPr>
          <w:p w:rsidR="00AA0AF0" w:rsidRDefault="00AA0AF0">
            <w:pPr>
              <w:jc w:val="center"/>
              <w:rPr>
                <w:rFonts w:ascii="Arial" w:hAnsi="Arial" w:cs="Arial"/>
              </w:rPr>
            </w:pPr>
            <w:r>
              <w:rPr>
                <w:rFonts w:ascii="Arial" w:hAnsi="Arial" w:cs="Arial"/>
              </w:rPr>
              <w:t>OFF</w:t>
            </w:r>
          </w:p>
        </w:tc>
        <w:tc>
          <w:tcPr>
            <w:tcW w:w="2951" w:type="dxa"/>
            <w:tcBorders>
              <w:top w:val="single" w:sz="4" w:space="0" w:color="auto"/>
              <w:left w:val="single" w:sz="4" w:space="0" w:color="auto"/>
              <w:bottom w:val="single" w:sz="4" w:space="0" w:color="auto"/>
              <w:right w:val="single" w:sz="4" w:space="0" w:color="auto"/>
            </w:tcBorders>
          </w:tcPr>
          <w:p w:rsidR="00AA0AF0" w:rsidRDefault="00AA0AF0">
            <w:pPr>
              <w:jc w:val="center"/>
              <w:rPr>
                <w:rFonts w:ascii="Arial" w:hAnsi="Arial" w:cs="Arial"/>
              </w:rPr>
            </w:pPr>
          </w:p>
        </w:tc>
      </w:tr>
    </w:tbl>
    <w:p w:rsidR="00AA0AF0" w:rsidRDefault="00AA0AF0" w:rsidP="00AA0AF0">
      <w:pPr>
        <w:rPr>
          <w:rFonts w:ascii="Arial" w:hAnsi="Arial" w:cs="Arial"/>
          <w:color w:val="1F497D"/>
        </w:rPr>
      </w:pPr>
    </w:p>
    <w:p w:rsidR="00AA0AF0" w:rsidRDefault="00AA0AF0" w:rsidP="00AA0AF0">
      <w:pPr>
        <w:rPr>
          <w:rFonts w:ascii="Arial" w:hAnsi="Arial" w:cs="Arial"/>
        </w:rPr>
      </w:pPr>
      <w:r>
        <w:rPr>
          <w:rFonts w:ascii="Arial" w:hAnsi="Arial" w:cs="Arial"/>
        </w:rPr>
        <w:t xml:space="preserve">Footnote 1: OFF and operating at unity PF, </w:t>
      </w:r>
      <w:proofErr w:type="gramStart"/>
      <w:r>
        <w:rPr>
          <w:rFonts w:ascii="Arial" w:hAnsi="Arial" w:cs="Arial"/>
        </w:rPr>
        <w:t>Or</w:t>
      </w:r>
      <w:proofErr w:type="gramEnd"/>
      <w:r>
        <w:rPr>
          <w:rFonts w:ascii="Arial" w:hAnsi="Arial" w:cs="Arial"/>
        </w:rPr>
        <w:t xml:space="preserve"> set to ON with unity PF.</w:t>
      </w:r>
    </w:p>
    <w:p w:rsidR="00AA0AF0" w:rsidRDefault="00AA0AF0" w:rsidP="00AA0AF0">
      <w:pPr>
        <w:rPr>
          <w:rFonts w:ascii="Arial" w:hAnsi="Arial" w:cs="Arial"/>
        </w:rPr>
      </w:pPr>
    </w:p>
    <w:p w:rsidR="00AA0AF0" w:rsidRDefault="00AA0AF0" w:rsidP="00AA0AF0">
      <w:pPr>
        <w:rPr>
          <w:rFonts w:ascii="Arial" w:hAnsi="Arial" w:cs="Arial"/>
          <w:b/>
        </w:rPr>
      </w:pPr>
      <w:r>
        <w:rPr>
          <w:rFonts w:ascii="Arial" w:hAnsi="Arial" w:cs="Arial"/>
          <w:b/>
        </w:rPr>
        <w:t>Requirement 4: Per National Grid ESB 756 section 7.8.1:</w:t>
      </w:r>
    </w:p>
    <w:p w:rsidR="00AA0AF0" w:rsidRDefault="00AA0AF0" w:rsidP="00AA0AF0">
      <w:pPr>
        <w:rPr>
          <w:rFonts w:ascii="Arial" w:hAnsi="Arial" w:cs="Arial"/>
        </w:rPr>
      </w:pPr>
    </w:p>
    <w:p w:rsidR="00AA0AF0" w:rsidRPr="00AA0AF0" w:rsidRDefault="00AA0AF0">
      <w:pPr>
        <w:rPr>
          <w:rFonts w:ascii="Arial" w:hAnsi="Arial" w:cs="Arial"/>
          <w:i/>
        </w:rPr>
      </w:pPr>
      <w:r>
        <w:rPr>
          <w:rFonts w:ascii="Arial" w:hAnsi="Arial" w:cs="Arial"/>
          <w:i/>
        </w:rPr>
        <w:t xml:space="preserve">4. In the Permissive Operation region above 1.1 p. u. </w:t>
      </w:r>
      <w:proofErr w:type="gramStart"/>
      <w:r>
        <w:rPr>
          <w:rFonts w:ascii="Arial" w:hAnsi="Arial" w:cs="Arial"/>
          <w:i/>
        </w:rPr>
        <w:t>voltage</w:t>
      </w:r>
      <w:proofErr w:type="gramEnd"/>
      <w:r>
        <w:rPr>
          <w:rFonts w:ascii="Arial" w:hAnsi="Arial" w:cs="Arial"/>
          <w:i/>
        </w:rPr>
        <w:t xml:space="preserve">, the inverter(s) will ride-through in Momentary Cessation mode as defined in the </w:t>
      </w:r>
      <w:hyperlink r:id="rId12" w:history="1">
        <w:r>
          <w:rPr>
            <w:rStyle w:val="Hyperlink"/>
            <w:rFonts w:cs="Arial"/>
            <w:i/>
            <w:color w:val="000000"/>
            <w14:textFill>
              <w14:solidFill>
                <w14:srgbClr w14:val="000000"/>
              </w14:solidFill>
            </w14:textFill>
          </w:rPr>
          <w:t>NE ISO SRD</w:t>
        </w:r>
      </w:hyperlink>
      <w:r>
        <w:rPr>
          <w:rFonts w:ascii="Arial" w:hAnsi="Arial" w:cs="Arial"/>
          <w:i/>
        </w:rPr>
        <w:t>. (Yes/No)____</w:t>
      </w:r>
    </w:p>
    <w:sectPr w:rsidR="00AA0AF0" w:rsidRPr="00AA0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F0" w:rsidRDefault="00AA0AF0" w:rsidP="00AA0AF0">
      <w:r>
        <w:separator/>
      </w:r>
    </w:p>
  </w:endnote>
  <w:endnote w:type="continuationSeparator" w:id="0">
    <w:p w:rsidR="00AA0AF0" w:rsidRDefault="00AA0AF0" w:rsidP="00AA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F0" w:rsidRDefault="00AA0AF0" w:rsidP="00AA0AF0">
      <w:r>
        <w:separator/>
      </w:r>
    </w:p>
  </w:footnote>
  <w:footnote w:type="continuationSeparator" w:id="0">
    <w:p w:rsidR="00AA0AF0" w:rsidRDefault="00AA0AF0" w:rsidP="00AA0AF0">
      <w:r>
        <w:continuationSeparator/>
      </w:r>
    </w:p>
  </w:footnote>
  <w:footnote w:id="1">
    <w:p w:rsidR="00AA0AF0" w:rsidRPr="00AA0AF0" w:rsidRDefault="00AA0AF0" w:rsidP="00AA0AF0">
      <w:pPr>
        <w:autoSpaceDE w:val="0"/>
        <w:autoSpaceDN w:val="0"/>
        <w:adjustRightInd w:val="0"/>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7F9A"/>
    <w:multiLevelType w:val="hybridMultilevel"/>
    <w:tmpl w:val="508A5042"/>
    <w:lvl w:ilvl="0" w:tplc="3EF0D2A2">
      <w:start w:val="1"/>
      <w:numFmt w:val="decimal"/>
      <w:lvlText w:val="%1."/>
      <w:lvlJc w:val="left"/>
      <w:pPr>
        <w:ind w:left="720" w:hanging="360"/>
      </w:pPr>
      <w:rPr>
        <w:rFonts w:ascii="Helvetica" w:hAnsi="Helvetica" w:cs="Helvetica" w:hint="default"/>
        <w:i/>
        <w:sz w:val="19"/>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F0"/>
    <w:rsid w:val="00AA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F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AF0"/>
    <w:rPr>
      <w:rFonts w:ascii="Times New Roman" w:hAnsi="Times New Roman" w:cs="Times New Roman" w:hint="default"/>
      <w:color w:val="0000FF"/>
      <w:u w:val="single"/>
      <w14:textFill>
        <w14:solidFill>
          <w14:srgbClr w14:val="000000"/>
        </w14:solidFill>
      </w14:textFill>
    </w:rPr>
  </w:style>
  <w:style w:type="paragraph" w:styleId="ListParagraph">
    <w:name w:val="List Paragraph"/>
    <w:basedOn w:val="Normal"/>
    <w:uiPriority w:val="34"/>
    <w:qFormat/>
    <w:rsid w:val="00AA0AF0"/>
    <w:pPr>
      <w:ind w:left="720"/>
    </w:pPr>
  </w:style>
  <w:style w:type="character" w:styleId="FootnoteReference">
    <w:name w:val="footnote reference"/>
    <w:basedOn w:val="DefaultParagraphFont"/>
    <w:uiPriority w:val="99"/>
    <w:semiHidden/>
    <w:unhideWhenUsed/>
    <w:rsid w:val="00AA0AF0"/>
    <w:rPr>
      <w:rFonts w:ascii="Times New Roman" w:hAnsi="Times New Roman" w:cs="Times New Roman" w:hint="default"/>
    </w:rPr>
  </w:style>
  <w:style w:type="table" w:styleId="TableGrid">
    <w:name w:val="Table Grid"/>
    <w:basedOn w:val="TableNormal"/>
    <w:uiPriority w:val="59"/>
    <w:rsid w:val="00AA0A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F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AF0"/>
    <w:rPr>
      <w:rFonts w:ascii="Times New Roman" w:hAnsi="Times New Roman" w:cs="Times New Roman" w:hint="default"/>
      <w:color w:val="0000FF"/>
      <w:u w:val="single"/>
      <w14:textFill>
        <w14:solidFill>
          <w14:srgbClr w14:val="000000"/>
        </w14:solidFill>
      </w14:textFill>
    </w:rPr>
  </w:style>
  <w:style w:type="paragraph" w:styleId="ListParagraph">
    <w:name w:val="List Paragraph"/>
    <w:basedOn w:val="Normal"/>
    <w:uiPriority w:val="34"/>
    <w:qFormat/>
    <w:rsid w:val="00AA0AF0"/>
    <w:pPr>
      <w:ind w:left="720"/>
    </w:pPr>
  </w:style>
  <w:style w:type="character" w:styleId="FootnoteReference">
    <w:name w:val="footnote reference"/>
    <w:basedOn w:val="DefaultParagraphFont"/>
    <w:uiPriority w:val="99"/>
    <w:semiHidden/>
    <w:unhideWhenUsed/>
    <w:rsid w:val="00AA0AF0"/>
    <w:rPr>
      <w:rFonts w:ascii="Times New Roman" w:hAnsi="Times New Roman" w:cs="Times New Roman" w:hint="default"/>
    </w:rPr>
  </w:style>
  <w:style w:type="table" w:styleId="TableGrid">
    <w:name w:val="Table Grid"/>
    <w:basedOn w:val="TableNormal"/>
    <w:uiPriority w:val="59"/>
    <w:rsid w:val="00AA0A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9.nationalgridus.com/masselectric/home/energyeff/4_interconnection-documen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olarcalifornia.org/equipment/inverters.php" TargetMode="External"/><Relationship Id="rId5" Type="http://schemas.openxmlformats.org/officeDocument/2006/relationships/webSettings" Target="webSettings.xml"/><Relationship Id="rId10" Type="http://schemas.openxmlformats.org/officeDocument/2006/relationships/hyperlink" Target="https://www9.nationalgridus.com/non_html/ISO%20New%20England%20Source%20Requirement%20Document-2018-02-06.pdf" TargetMode="External"/><Relationship Id="rId4" Type="http://schemas.openxmlformats.org/officeDocument/2006/relationships/settings" Target="settings.xml"/><Relationship Id="rId9" Type="http://schemas.openxmlformats.org/officeDocument/2006/relationships/hyperlink" Target="https://www9.nationalgridus.com/non_html/ISO-NE%20Ride-through%20Requirements%20Memo%202-14-18%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cp:revision>
  <dcterms:created xsi:type="dcterms:W3CDTF">2018-05-22T14:49:00Z</dcterms:created>
  <dcterms:modified xsi:type="dcterms:W3CDTF">2018-05-22T15:00:00Z</dcterms:modified>
</cp:coreProperties>
</file>